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E1" w:rsidRPr="00A170E1" w:rsidRDefault="00A170E1" w:rsidP="00A170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170E1">
        <w:rPr>
          <w:rFonts w:ascii="Times New Roman" w:eastAsia="Times New Roman" w:hAnsi="Times New Roman" w:cs="Times New Roman"/>
          <w:b/>
          <w:bCs/>
          <w:sz w:val="36"/>
          <w:szCs w:val="36"/>
          <w:lang w:eastAsia="cs-CZ"/>
        </w:rPr>
        <w:t>Pravidla při vyřizování žádostí o poskytování informací</w: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Times New Roman" w:eastAsia="Times New Roman" w:hAnsi="Times New Roman" w:cs="Times New Roman"/>
          <w:sz w:val="24"/>
          <w:szCs w:val="24"/>
          <w:lang w:eastAsia="cs-CZ"/>
        </w:rPr>
        <w:t> </w:t>
      </w:r>
    </w:p>
    <w:p w:rsidR="00A170E1" w:rsidRPr="00A170E1" w:rsidRDefault="009224A1" w:rsidP="00A170E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t" fillcolor="#a0a0a0" stroked="f"/>
        </w:pic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Times New Roman" w:eastAsia="Times New Roman" w:hAnsi="Times New Roman" w:cs="Times New Roman"/>
          <w:sz w:val="24"/>
          <w:szCs w:val="24"/>
          <w:lang w:eastAsia="cs-CZ"/>
        </w:rPr>
        <w:t> </w: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Times New Roman" w:eastAsia="Times New Roman" w:hAnsi="Times New Roman" w:cs="Times New Roman"/>
          <w:sz w:val="24"/>
          <w:szCs w:val="24"/>
          <w:lang w:eastAsia="cs-CZ"/>
        </w:rPr>
        <w:t> </w: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1. Úvod</w: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 Tato pravidla upravují organizační a procedurální otázky pro realizaci zákona č. 106/1999 Sb. ve znění pozdějších předpisů - o svobodném přístupu k informacím (dále jen „zákon“) v podmínkách výkonných orgánů </w:t>
      </w:r>
      <w:r>
        <w:rPr>
          <w:rFonts w:ascii="Calibri" w:eastAsia="Times New Roman" w:hAnsi="Calibri" w:cs="Calibri"/>
          <w:lang w:eastAsia="cs-CZ"/>
        </w:rPr>
        <w:t>městys Svojanov (dále jen městys</w:t>
      </w:r>
      <w:r w:rsidRPr="00A170E1">
        <w:rPr>
          <w:rFonts w:ascii="Calibri" w:eastAsia="Times New Roman" w:hAnsi="Calibri" w:cs="Calibri"/>
          <w:lang w:eastAsia="cs-CZ"/>
        </w:rPr>
        <w:t xml:space="preserve">). Informací se pro účely tohoto zákona rozumí jakýkoliv obsah nebo jeho část v jakékoliv podobě - záznamu na listině, záznamu uloženého v elektronické podobě nebo záznamu zvukového, obrazového nebo audiovizuálního. </w:t>
      </w:r>
    </w:p>
    <w:p w:rsidR="00A170E1" w:rsidRPr="00A170E1" w:rsidRDefault="00A170E1" w:rsidP="00A170E1">
      <w:pPr>
        <w:spacing w:after="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w:t>
      </w:r>
    </w:p>
    <w:p w:rsidR="00A170E1" w:rsidRPr="00A170E1" w:rsidRDefault="00A170E1" w:rsidP="00A170E1">
      <w:pPr>
        <w:spacing w:after="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2. Vymezení okruhů informací podle jejich charakteru</w: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 xml:space="preserve">2.1. Informace, jejichž zveřejnění ukládá zákon </w:t>
      </w:r>
    </w:p>
    <w:p w:rsidR="00A170E1" w:rsidRPr="00A170E1" w:rsidRDefault="009224A1" w:rsidP="00A170E1">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lang w:eastAsia="cs-CZ"/>
        </w:rPr>
        <w:t>Městys je povine</w:t>
      </w:r>
      <w:r w:rsidR="00A170E1">
        <w:rPr>
          <w:rFonts w:ascii="Calibri" w:eastAsia="Times New Roman" w:hAnsi="Calibri" w:cs="Calibri"/>
          <w:lang w:eastAsia="cs-CZ"/>
        </w:rPr>
        <w:t>n</w:t>
      </w:r>
      <w:r w:rsidR="00A170E1" w:rsidRPr="00A170E1">
        <w:rPr>
          <w:rFonts w:ascii="Calibri" w:eastAsia="Times New Roman" w:hAnsi="Calibri" w:cs="Calibri"/>
          <w:lang w:eastAsia="cs-CZ"/>
        </w:rPr>
        <w:t xml:space="preserve"> zveřejňovat zejména tyto informace: </w:t>
      </w:r>
    </w:p>
    <w:p w:rsidR="00A170E1" w:rsidRPr="00A170E1" w:rsidRDefault="00A170E1" w:rsidP="00A170E1">
      <w:pPr>
        <w:tabs>
          <w:tab w:val="num" w:pos="360"/>
        </w:tabs>
        <w:spacing w:after="27"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a)</w:t>
      </w:r>
      <w:r w:rsidRPr="00A170E1">
        <w:rPr>
          <w:rFonts w:ascii="Times New Roman" w:eastAsia="Times New Roman" w:hAnsi="Times New Roman" w:cs="Times New Roman"/>
          <w:sz w:val="14"/>
          <w:szCs w:val="14"/>
          <w:lang w:eastAsia="cs-CZ"/>
        </w:rPr>
        <w:t xml:space="preserve">      </w:t>
      </w:r>
      <w:r>
        <w:rPr>
          <w:rFonts w:ascii="Calibri" w:eastAsia="Times New Roman" w:hAnsi="Calibri" w:cs="Calibri"/>
          <w:lang w:eastAsia="cs-CZ"/>
        </w:rPr>
        <w:t>o městysu</w:t>
      </w:r>
      <w:r w:rsidRPr="00A170E1">
        <w:rPr>
          <w:rFonts w:ascii="Calibri" w:eastAsia="Times New Roman" w:hAnsi="Calibri" w:cs="Calibri"/>
          <w:lang w:eastAsia="cs-CZ"/>
        </w:rPr>
        <w:t xml:space="preserve"> a jeho činnosti jako právnické osobě, </w:t>
      </w:r>
    </w:p>
    <w:p w:rsidR="00A170E1" w:rsidRPr="00A170E1" w:rsidRDefault="00A170E1" w:rsidP="00A170E1">
      <w:pPr>
        <w:tabs>
          <w:tab w:val="num" w:pos="360"/>
        </w:tabs>
        <w:spacing w:after="27"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b)</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o organizační struktuře </w:t>
      </w:r>
      <w:r>
        <w:rPr>
          <w:rFonts w:ascii="Calibri" w:eastAsia="Times New Roman" w:hAnsi="Calibri" w:cs="Calibri"/>
          <w:lang w:eastAsia="cs-CZ"/>
        </w:rPr>
        <w:t>úřadu městysu</w:t>
      </w:r>
      <w:r w:rsidRPr="00A170E1">
        <w:rPr>
          <w:rFonts w:ascii="Calibri" w:eastAsia="Times New Roman" w:hAnsi="Calibri" w:cs="Calibri"/>
          <w:lang w:eastAsia="cs-CZ"/>
        </w:rPr>
        <w:t>,</w:t>
      </w:r>
    </w:p>
    <w:p w:rsidR="00A170E1" w:rsidRPr="00A170E1" w:rsidRDefault="00A170E1" w:rsidP="00A170E1">
      <w:pPr>
        <w:tabs>
          <w:tab w:val="num" w:pos="360"/>
        </w:tabs>
        <w:spacing w:after="27"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c)</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popis postupů a pravidel při vyřizování všech podání a žádostí, </w:t>
      </w:r>
    </w:p>
    <w:p w:rsidR="00A170E1" w:rsidRPr="00A170E1" w:rsidRDefault="00A170E1" w:rsidP="00A170E1">
      <w:pPr>
        <w:tabs>
          <w:tab w:val="num" w:pos="360"/>
        </w:tabs>
        <w:spacing w:after="27"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d)</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přehled nejdůležitější</w:t>
      </w:r>
      <w:r>
        <w:rPr>
          <w:rFonts w:ascii="Calibri" w:eastAsia="Times New Roman" w:hAnsi="Calibri" w:cs="Calibri"/>
          <w:lang w:eastAsia="cs-CZ"/>
        </w:rPr>
        <w:t>ch předpisů, jimiž se musí městys</w:t>
      </w:r>
      <w:r w:rsidRPr="00A170E1">
        <w:rPr>
          <w:rFonts w:ascii="Calibri" w:eastAsia="Times New Roman" w:hAnsi="Calibri" w:cs="Calibri"/>
          <w:lang w:eastAsia="cs-CZ"/>
        </w:rPr>
        <w:t xml:space="preserve"> </w:t>
      </w:r>
      <w:r>
        <w:rPr>
          <w:rFonts w:ascii="Calibri" w:eastAsia="Times New Roman" w:hAnsi="Calibri" w:cs="Calibri"/>
          <w:lang w:eastAsia="cs-CZ"/>
        </w:rPr>
        <w:t>a úřad městysu</w:t>
      </w:r>
      <w:r w:rsidRPr="00A170E1">
        <w:rPr>
          <w:rFonts w:ascii="Calibri" w:eastAsia="Times New Roman" w:hAnsi="Calibri" w:cs="Calibri"/>
          <w:lang w:eastAsia="cs-CZ"/>
        </w:rPr>
        <w:t xml:space="preserve"> řídit, </w:t>
      </w:r>
    </w:p>
    <w:p w:rsidR="00A170E1" w:rsidRPr="00A170E1" w:rsidRDefault="00A170E1" w:rsidP="00A170E1">
      <w:pPr>
        <w:tabs>
          <w:tab w:val="num" w:pos="360"/>
        </w:tabs>
        <w:spacing w:after="27"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e)</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sazebník úhrad za poskytování informací (viz příloha),</w:t>
      </w:r>
    </w:p>
    <w:p w:rsidR="00A170E1" w:rsidRPr="00A170E1" w:rsidRDefault="00A170E1" w:rsidP="00A170E1">
      <w:pPr>
        <w:tabs>
          <w:tab w:val="num" w:pos="360"/>
        </w:tabs>
        <w:spacing w:after="27"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f)</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výroční zprávu o poskytování informací za předchozí kalendářní rok, </w:t>
      </w:r>
    </w:p>
    <w:p w:rsidR="00A170E1" w:rsidRPr="00A170E1" w:rsidRDefault="00A170E1" w:rsidP="00A170E1">
      <w:pPr>
        <w:tabs>
          <w:tab w:val="num" w:pos="360"/>
        </w:tabs>
        <w:spacing w:after="0"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g)</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všechny údaje a dokumenty, jejichž zveřejnění ukládá zák. č.128/2000 Sb., o obcích, ve znění pozdějších předpisů, </w:t>
      </w:r>
    </w:p>
    <w:p w:rsidR="00A170E1" w:rsidRPr="00A170E1" w:rsidRDefault="00A170E1" w:rsidP="00A170E1">
      <w:pPr>
        <w:tabs>
          <w:tab w:val="num" w:pos="360"/>
        </w:tabs>
        <w:spacing w:after="27"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h)</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ustanovení o licenční nebo </w:t>
      </w:r>
      <w:proofErr w:type="spellStart"/>
      <w:r w:rsidRPr="00A170E1">
        <w:rPr>
          <w:rFonts w:ascii="Calibri" w:eastAsia="Times New Roman" w:hAnsi="Calibri" w:cs="Calibri"/>
          <w:lang w:eastAsia="cs-CZ"/>
        </w:rPr>
        <w:t>podlicenční</w:t>
      </w:r>
      <w:proofErr w:type="spellEnd"/>
      <w:r w:rsidRPr="00A170E1">
        <w:rPr>
          <w:rFonts w:ascii="Calibri" w:eastAsia="Times New Roman" w:hAnsi="Calibri" w:cs="Calibri"/>
          <w:lang w:eastAsia="cs-CZ"/>
        </w:rPr>
        <w:t xml:space="preserve"> smlouvě při poskytnutí informací, </w:t>
      </w:r>
    </w:p>
    <w:p w:rsidR="00A170E1" w:rsidRPr="00A170E1" w:rsidRDefault="00A170E1" w:rsidP="00A170E1">
      <w:pPr>
        <w:tabs>
          <w:tab w:val="num" w:pos="360"/>
        </w:tabs>
        <w:spacing w:after="27"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i)</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usnesení nadřízeného orgánu o výši úhrad vydaná v odvolacím řízení, </w:t>
      </w:r>
    </w:p>
    <w:p w:rsidR="00A170E1" w:rsidRPr="00A170E1" w:rsidRDefault="00A170E1" w:rsidP="00A170E1">
      <w:pPr>
        <w:tabs>
          <w:tab w:val="num" w:pos="360"/>
        </w:tabs>
        <w:spacing w:after="27"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j)</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adresu elektronické podatelny </w:t>
      </w:r>
      <w:r>
        <w:rPr>
          <w:rFonts w:ascii="Calibri" w:eastAsia="Times New Roman" w:hAnsi="Calibri" w:cs="Calibri"/>
          <w:lang w:eastAsia="cs-CZ"/>
        </w:rPr>
        <w:t>úřadu městyse</w:t>
      </w:r>
      <w:r w:rsidRPr="00A170E1">
        <w:rPr>
          <w:rFonts w:ascii="Calibri" w:eastAsia="Times New Roman" w:hAnsi="Calibri" w:cs="Calibri"/>
          <w:lang w:eastAsia="cs-CZ"/>
        </w:rPr>
        <w:t xml:space="preserve">, </w:t>
      </w:r>
    </w:p>
    <w:p w:rsidR="00A170E1" w:rsidRPr="00A170E1" w:rsidRDefault="00A170E1" w:rsidP="00A170E1">
      <w:pPr>
        <w:tabs>
          <w:tab w:val="num" w:pos="360"/>
        </w:tabs>
        <w:spacing w:after="0"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k)</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o příjemci veřejných prostředků, a to v souladu se zákonem o ochraně osobních údajů. </w: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w:t>
      </w:r>
    </w:p>
    <w:p w:rsidR="00A170E1" w:rsidRPr="00A170E1" w:rsidRDefault="00A170E1" w:rsidP="00A170E1">
      <w:pPr>
        <w:spacing w:after="120" w:line="240" w:lineRule="auto"/>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 xml:space="preserve">2.2. Skutečnosti a údaje, o nichž se informace neposkytují </w:t>
      </w:r>
      <w:r w:rsidRPr="00A170E1">
        <w:rPr>
          <w:rFonts w:ascii="Calibri" w:eastAsia="Times New Roman" w:hAnsi="Calibri" w:cs="Calibri"/>
          <w:lang w:eastAsia="cs-CZ"/>
        </w:rPr>
        <w:t xml:space="preserve">(§ 7, 8a, 9, 10, 11 zákona) </w:t>
      </w:r>
    </w:p>
    <w:p w:rsidR="00A170E1" w:rsidRPr="00A170E1" w:rsidRDefault="00A170E1" w:rsidP="00A170E1">
      <w:pPr>
        <w:tabs>
          <w:tab w:val="num" w:pos="360"/>
        </w:tabs>
        <w:spacing w:before="120" w:after="120" w:line="240" w:lineRule="auto"/>
        <w:ind w:left="357" w:hanging="357"/>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a)</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pokud se jedná o utajované informace, </w:t>
      </w:r>
    </w:p>
    <w:p w:rsidR="00A170E1" w:rsidRPr="00A170E1" w:rsidRDefault="00A170E1" w:rsidP="00A170E1">
      <w:pPr>
        <w:tabs>
          <w:tab w:val="num" w:pos="360"/>
        </w:tabs>
        <w:spacing w:before="120" w:after="120" w:line="240" w:lineRule="auto"/>
        <w:ind w:left="357" w:hanging="357"/>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b)</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pokud se jedná o osobní údaje či majetkové poměry fyzických osob, </w:t>
      </w:r>
    </w:p>
    <w:p w:rsidR="00A170E1" w:rsidRPr="00A170E1" w:rsidRDefault="00A170E1" w:rsidP="00A170E1">
      <w:pPr>
        <w:tabs>
          <w:tab w:val="num" w:pos="360"/>
        </w:tabs>
        <w:spacing w:before="120" w:after="120" w:line="240" w:lineRule="auto"/>
        <w:ind w:left="357" w:hanging="357"/>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c)</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pokud se jedná o ochranu obchodního tajemství nebo ochranu autorských práv, </w:t>
      </w:r>
    </w:p>
    <w:p w:rsidR="00A170E1" w:rsidRPr="00A170E1" w:rsidRDefault="00A170E1" w:rsidP="00A170E1">
      <w:pPr>
        <w:tabs>
          <w:tab w:val="num" w:pos="360"/>
        </w:tabs>
        <w:spacing w:before="120" w:after="120" w:line="240" w:lineRule="auto"/>
        <w:ind w:left="357" w:hanging="357"/>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d)</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všechny další, které stanoví zákonné předpisy zvláště zákon o ochraně osobních údajů, </w:t>
      </w:r>
    </w:p>
    <w:p w:rsidR="00A170E1" w:rsidRPr="00A170E1" w:rsidRDefault="00A170E1" w:rsidP="00A170E1">
      <w:pPr>
        <w:tabs>
          <w:tab w:val="num" w:pos="360"/>
        </w:tabs>
        <w:spacing w:before="120" w:after="120" w:line="240" w:lineRule="auto"/>
        <w:ind w:left="357" w:hanging="357"/>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e)</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informace týkající se osobnosti, projevů osobní povahy, soukromí fyzické osoby a osobní údaje povinný subjekt poskytne jen v souladu s právními předpisy, upravujícími jejich ochranu. </w:t>
      </w:r>
    </w:p>
    <w:p w:rsidR="00A170E1" w:rsidRPr="00A170E1" w:rsidRDefault="00A170E1" w:rsidP="00A170E1">
      <w:pPr>
        <w:tabs>
          <w:tab w:val="num" w:pos="360"/>
        </w:tabs>
        <w:spacing w:before="120" w:after="120" w:line="240" w:lineRule="auto"/>
        <w:ind w:left="357" w:hanging="357"/>
        <w:rPr>
          <w:rFonts w:ascii="Times New Roman" w:eastAsia="Times New Roman" w:hAnsi="Times New Roman" w:cs="Times New Roman"/>
          <w:sz w:val="24"/>
          <w:szCs w:val="24"/>
          <w:lang w:eastAsia="cs-CZ"/>
        </w:rPr>
      </w:pPr>
      <w:r w:rsidRPr="00A170E1">
        <w:rPr>
          <w:rFonts w:ascii="Times New Roman" w:eastAsia="Times New Roman" w:hAnsi="Times New Roman" w:cs="Times New Roman"/>
          <w:sz w:val="24"/>
          <w:szCs w:val="24"/>
          <w:lang w:eastAsia="cs-CZ"/>
        </w:rPr>
        <w:t> </w:t>
      </w:r>
    </w:p>
    <w:p w:rsidR="00A170E1" w:rsidRPr="00A170E1" w:rsidRDefault="00A170E1" w:rsidP="00A170E1">
      <w:pPr>
        <w:tabs>
          <w:tab w:val="num" w:pos="360"/>
        </w:tabs>
        <w:spacing w:before="120" w:after="120" w:line="240" w:lineRule="auto"/>
        <w:ind w:left="357" w:hanging="357"/>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3. Způsob a rozsah zveřejnění informací</w:t>
      </w:r>
    </w:p>
    <w:p w:rsidR="00A170E1" w:rsidRPr="00A170E1" w:rsidRDefault="00A170E1" w:rsidP="00A170E1">
      <w:pPr>
        <w:tabs>
          <w:tab w:val="num" w:pos="360"/>
        </w:tabs>
        <w:spacing w:before="120" w:after="120" w:line="240" w:lineRule="auto"/>
        <w:ind w:left="357" w:hanging="357"/>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Měst</w:t>
      </w:r>
      <w:r w:rsidR="009224A1">
        <w:rPr>
          <w:rFonts w:ascii="Calibri" w:eastAsia="Times New Roman" w:hAnsi="Calibri" w:cs="Calibri"/>
          <w:lang w:eastAsia="cs-CZ"/>
        </w:rPr>
        <w:t>ys</w:t>
      </w:r>
      <w:r w:rsidRPr="00A170E1">
        <w:rPr>
          <w:rFonts w:ascii="Calibri" w:eastAsia="Times New Roman" w:hAnsi="Calibri" w:cs="Calibri"/>
          <w:lang w:eastAsia="cs-CZ"/>
        </w:rPr>
        <w:t xml:space="preserve"> zveřejňuje informace těmito způsoby: </w:t>
      </w:r>
    </w:p>
    <w:p w:rsidR="00A170E1" w:rsidRPr="00A170E1" w:rsidRDefault="00A170E1" w:rsidP="00A170E1">
      <w:pPr>
        <w:tabs>
          <w:tab w:val="num" w:pos="360"/>
        </w:tabs>
        <w:spacing w:after="28"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a)</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na úřední desce měst</w:t>
      </w:r>
      <w:r w:rsidR="009224A1">
        <w:rPr>
          <w:rFonts w:ascii="Calibri" w:eastAsia="Times New Roman" w:hAnsi="Calibri" w:cs="Calibri"/>
          <w:lang w:eastAsia="cs-CZ"/>
        </w:rPr>
        <w:t>yse</w:t>
      </w:r>
      <w:r w:rsidRPr="00A170E1">
        <w:rPr>
          <w:rFonts w:ascii="Calibri" w:eastAsia="Times New Roman" w:hAnsi="Calibri" w:cs="Calibri"/>
          <w:lang w:eastAsia="cs-CZ"/>
        </w:rPr>
        <w:t xml:space="preserve">, </w:t>
      </w:r>
    </w:p>
    <w:p w:rsidR="00A170E1" w:rsidRPr="00A170E1" w:rsidRDefault="00A170E1" w:rsidP="00A170E1">
      <w:pPr>
        <w:tabs>
          <w:tab w:val="num" w:pos="360"/>
        </w:tabs>
        <w:spacing w:after="28"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b)</w:t>
      </w:r>
      <w:r w:rsidRPr="00A170E1">
        <w:rPr>
          <w:rFonts w:ascii="Times New Roman" w:eastAsia="Times New Roman" w:hAnsi="Times New Roman" w:cs="Times New Roman"/>
          <w:sz w:val="14"/>
          <w:szCs w:val="14"/>
          <w:lang w:eastAsia="cs-CZ"/>
        </w:rPr>
        <w:t xml:space="preserve">      </w:t>
      </w:r>
      <w:r w:rsidRPr="00A170E1">
        <w:rPr>
          <w:rFonts w:ascii="Calibri" w:eastAsia="Times New Roman" w:hAnsi="Calibri" w:cs="Calibri"/>
          <w:lang w:eastAsia="cs-CZ"/>
        </w:rPr>
        <w:t xml:space="preserve">na www stránkách, </w:t>
      </w:r>
    </w:p>
    <w:p w:rsidR="00A170E1" w:rsidRPr="00A170E1" w:rsidRDefault="00A170E1" w:rsidP="00A170E1">
      <w:pPr>
        <w:tabs>
          <w:tab w:val="num" w:pos="360"/>
        </w:tabs>
        <w:spacing w:after="0" w:line="240" w:lineRule="auto"/>
        <w:ind w:left="360" w:hanging="360"/>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d)</w:t>
      </w:r>
      <w:r w:rsidRPr="00A170E1">
        <w:rPr>
          <w:rFonts w:ascii="Times New Roman" w:eastAsia="Times New Roman" w:hAnsi="Times New Roman" w:cs="Times New Roman"/>
          <w:sz w:val="14"/>
          <w:szCs w:val="14"/>
          <w:lang w:eastAsia="cs-CZ"/>
        </w:rPr>
        <w:t xml:space="preserve">      </w:t>
      </w:r>
      <w:r>
        <w:rPr>
          <w:rFonts w:ascii="Calibri" w:eastAsia="Times New Roman" w:hAnsi="Calibri" w:cs="Calibri"/>
          <w:lang w:eastAsia="cs-CZ"/>
        </w:rPr>
        <w:t xml:space="preserve">v kanceláři městyse </w:t>
      </w:r>
      <w:r w:rsidRPr="00A170E1">
        <w:rPr>
          <w:rFonts w:ascii="Calibri" w:eastAsia="Times New Roman" w:hAnsi="Calibri" w:cs="Calibri"/>
          <w:lang w:eastAsia="cs-CZ"/>
        </w:rPr>
        <w:t>je k nahlédnutí kompletní sbírka zákonů, případně další předpisy.</w: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 </w: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 4. Povinnosti a postup při vyřizování žádostí o poskytování informací</w:t>
      </w:r>
    </w:p>
    <w:p w:rsidR="00A170E1" w:rsidRPr="00A170E1" w:rsidRDefault="00A170E1" w:rsidP="00A170E1">
      <w:pPr>
        <w:spacing w:after="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4.1. Ústně a telefonicky podané žádosti vyřizují volení zástupci, i ostatní zaměstnanci v rámci své působnosti. Takto poskytnuté informace se neevidují. Nepovažuje-li žadatel informaci poskytnutou na ústně podanou žádost za dostačující, je třeba podat žádost písemně. </w:t>
      </w:r>
    </w:p>
    <w:p w:rsidR="00A170E1" w:rsidRPr="00A170E1" w:rsidRDefault="00A170E1" w:rsidP="00A170E1">
      <w:pPr>
        <w:keepNext/>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lastRenderedPageBreak/>
        <w:t xml:space="preserve">4.2. Písemně podané žádosti na </w:t>
      </w:r>
      <w:r>
        <w:rPr>
          <w:rFonts w:ascii="Calibri" w:eastAsia="Times New Roman" w:hAnsi="Calibri" w:cs="Calibri"/>
          <w:lang w:eastAsia="cs-CZ"/>
        </w:rPr>
        <w:t>úřad městyse</w:t>
      </w:r>
      <w:r w:rsidRPr="00A170E1">
        <w:rPr>
          <w:rFonts w:ascii="Calibri" w:eastAsia="Times New Roman" w:hAnsi="Calibri" w:cs="Calibri"/>
          <w:lang w:eastAsia="cs-CZ"/>
        </w:rPr>
        <w:t xml:space="preserve"> či žádosti učiněné elektronicky s elektronickým podpisem jsou zaevidovány v podatelně </w:t>
      </w:r>
      <w:r>
        <w:rPr>
          <w:rFonts w:ascii="Calibri" w:eastAsia="Times New Roman" w:hAnsi="Calibri" w:cs="Calibri"/>
          <w:lang w:eastAsia="cs-CZ"/>
        </w:rPr>
        <w:t>úřadu městyse</w:t>
      </w:r>
      <w:r w:rsidRPr="00A170E1">
        <w:rPr>
          <w:rFonts w:ascii="Calibri" w:eastAsia="Times New Roman" w:hAnsi="Calibri" w:cs="Calibri"/>
          <w:lang w:eastAsia="cs-CZ"/>
        </w:rPr>
        <w:t xml:space="preserve"> a předány dle svého charakteru. Při podání žádosti se požaduje, aby bylo zřejmé, že se žadatel domáhá poskytnutí informace podle tohoto zákona.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4.3. Vyřízení žádosti je možné těmito způsoby: </w:t>
      </w:r>
    </w:p>
    <w:p w:rsidR="00A170E1" w:rsidRPr="00A170E1" w:rsidRDefault="00A170E1" w:rsidP="00A170E1">
      <w:pPr>
        <w:spacing w:after="25"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 xml:space="preserve">a) poskytnutím informace </w:t>
      </w:r>
      <w:r w:rsidRPr="00A170E1">
        <w:rPr>
          <w:rFonts w:ascii="Calibri" w:eastAsia="Times New Roman" w:hAnsi="Calibri" w:cs="Calibri"/>
          <w:lang w:eastAsia="cs-CZ"/>
        </w:rPr>
        <w:t xml:space="preserve">– písemnou odpovědí poskytne úřad požadované informace v souladu se žádostí nejpozději do 15 dnů od přijetí žádosti nebo ode dne jejího doplnění. Lhůtu pro poskytnutí může úřad </w:t>
      </w:r>
      <w:r w:rsidR="009224A1">
        <w:rPr>
          <w:rFonts w:ascii="Calibri" w:eastAsia="Times New Roman" w:hAnsi="Calibri" w:cs="Calibri"/>
          <w:lang w:eastAsia="cs-CZ"/>
        </w:rPr>
        <w:t xml:space="preserve">městyse </w:t>
      </w:r>
      <w:r w:rsidRPr="00A170E1">
        <w:rPr>
          <w:rFonts w:ascii="Calibri" w:eastAsia="Times New Roman" w:hAnsi="Calibri" w:cs="Calibri"/>
          <w:lang w:eastAsia="cs-CZ"/>
        </w:rPr>
        <w:t xml:space="preserve">prodloužit ze závažných důvodů v zákoně uvedených. Pokud se žádost nevztahuje k působnosti úřadu, sdělí </w:t>
      </w:r>
      <w:r>
        <w:rPr>
          <w:rFonts w:ascii="Calibri" w:eastAsia="Times New Roman" w:hAnsi="Calibri" w:cs="Calibri"/>
          <w:lang w:eastAsia="cs-CZ"/>
        </w:rPr>
        <w:t>úřad městyse</w:t>
      </w:r>
      <w:r w:rsidRPr="00A170E1">
        <w:rPr>
          <w:rFonts w:ascii="Calibri" w:eastAsia="Times New Roman" w:hAnsi="Calibri" w:cs="Calibri"/>
          <w:lang w:eastAsia="cs-CZ"/>
        </w:rPr>
        <w:t xml:space="preserve"> do 7 dnů tuto skutečnost žadateli. Je-li zapotřebí licence, předloží úřad v 15 denní lhůtě žadateli konečnou licenční nabídku.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 xml:space="preserve">b) odložením žádosti </w:t>
      </w:r>
      <w:r w:rsidRPr="00A170E1">
        <w:rPr>
          <w:rFonts w:ascii="Calibri" w:eastAsia="Times New Roman" w:hAnsi="Calibri" w:cs="Calibri"/>
          <w:lang w:eastAsia="cs-CZ"/>
        </w:rPr>
        <w:t xml:space="preserve">– je-li žádost neúplná pro nedostatek údajů o žadateli a žadatel ji i přes výzvu, kterou úřad musí učinit do 7 dnů ode dne obdržení žádosti, nedoplní do 30 dnů ode dne doručení výzvy, žádost se odloží </w:t>
      </w:r>
    </w:p>
    <w:p w:rsidR="00A170E1" w:rsidRPr="00A170E1" w:rsidRDefault="00A170E1" w:rsidP="00A170E1">
      <w:pPr>
        <w:spacing w:after="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 xml:space="preserve">c) odmítnutím žádosti </w:t>
      </w:r>
      <w:r w:rsidRPr="00A170E1">
        <w:rPr>
          <w:rFonts w:ascii="Calibri" w:eastAsia="Times New Roman" w:hAnsi="Calibri" w:cs="Calibri"/>
          <w:lang w:eastAsia="cs-CZ"/>
        </w:rPr>
        <w:t>– pokud povinný subjekt žádosti, byť i jen zčásti, nevyhoví, vydá ve lhůtě 30 dní pro vyřízení žádosti rozhodnutí o odmítnutí žádosti, popřípadě o odmítnutí části žádosti (dále jen "rozhodnutí o odmítnutí žádosti"), s výjimkou případů, kdy se žádost odloží. Rozhodnutí o odmítnutí žádosti se vydává též v případech, kdy je žádost nesrozumitelná, není zřejmé, jaká informace je požadována, nebo je formulována příliš obecně a žadatel nedoplní žádost ani do 30 dnů ode dne doručení výzvy, aby žádost upřesnil (úřad vyzve do 7 dnů od podání žádosti).</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 xml:space="preserve">d) nevyhovění žádosti - </w:t>
      </w:r>
      <w:r w:rsidRPr="00A170E1">
        <w:rPr>
          <w:rFonts w:ascii="Calibri" w:eastAsia="Times New Roman" w:hAnsi="Calibri" w:cs="Calibri"/>
          <w:lang w:eastAsia="cs-CZ"/>
        </w:rPr>
        <w:t xml:space="preserve">pokud nebylo žádosti vyhověno z důvodů ochrany obchodního tajemství podle </w:t>
      </w:r>
      <w:bookmarkStart w:id="0" w:name="_GoBack"/>
      <w:bookmarkEnd w:id="0"/>
      <w:r w:rsidRPr="00A170E1">
        <w:rPr>
          <w:rFonts w:ascii="Calibri" w:eastAsia="Times New Roman" w:hAnsi="Calibri" w:cs="Calibri"/>
          <w:lang w:eastAsia="cs-CZ"/>
        </w:rPr>
        <w:t xml:space="preserve">§ 9 nebo ochrany práv třetích osob k předmětu práva autorského podle § 11 odst. 2 písm. c), musí být v odůvodnění rozhodnutí uvedeno, kdo vykonává právo k tomuto obchodnímu tajemství nebo kdo vykonává majetková práva k tomuto předmětu ochrany práva autorského, je-li tato osoba povinnému subjektu známa.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4.4. Podání odvolání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Je-li proti rozhodnutí o odmítnutí podáno odvolání, je vyřízeno těmito způsoby: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1) </w:t>
      </w:r>
      <w:r>
        <w:rPr>
          <w:rFonts w:ascii="Calibri" w:eastAsia="Times New Roman" w:hAnsi="Calibri" w:cs="Calibri"/>
          <w:lang w:eastAsia="cs-CZ"/>
        </w:rPr>
        <w:t>úřad městyse</w:t>
      </w:r>
      <w:r w:rsidRPr="00A170E1">
        <w:rPr>
          <w:rFonts w:ascii="Calibri" w:eastAsia="Times New Roman" w:hAnsi="Calibri" w:cs="Calibri"/>
          <w:lang w:eastAsia="cs-CZ"/>
        </w:rPr>
        <w:t xml:space="preserve"> předloží odvolání spolu se spisovým materiálem nadřízenému orgánu, tj. Krajskému úřadu </w:t>
      </w:r>
      <w:r>
        <w:rPr>
          <w:rFonts w:ascii="Calibri" w:eastAsia="Times New Roman" w:hAnsi="Calibri" w:cs="Calibri"/>
          <w:lang w:eastAsia="cs-CZ"/>
        </w:rPr>
        <w:t>Pardubického</w:t>
      </w:r>
      <w:r w:rsidRPr="00A170E1">
        <w:rPr>
          <w:rFonts w:ascii="Calibri" w:eastAsia="Times New Roman" w:hAnsi="Calibri" w:cs="Calibri"/>
          <w:lang w:eastAsia="cs-CZ"/>
        </w:rPr>
        <w:t xml:space="preserve"> kraje, ve lhůtě 15 dnů ode dne doručení odvolání,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2) nadřízený orgán rozhodne o odvolání do 15 dnů. Lhůta pro rozhodnutí o rozkladu je 15 pracovních dnů. Správní soud musí přezkoumat, zda jsou dány důvody pro odepření.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Times New Roman" w:eastAsia="Times New Roman" w:hAnsi="Times New Roman" w:cs="Times New Roman"/>
          <w:sz w:val="24"/>
          <w:szCs w:val="24"/>
          <w:lang w:eastAsia="cs-CZ"/>
        </w:rPr>
        <w:t>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5. Podání stížnosti na postup při vyřizování žádosti o informace</w:t>
      </w:r>
    </w:p>
    <w:p w:rsidR="00A170E1" w:rsidRPr="00A170E1" w:rsidRDefault="00A170E1" w:rsidP="00A170E1">
      <w:pPr>
        <w:spacing w:after="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Stížnost na postup při vyřizování žádosti o informace může podat žadatel. Stížnost se podává u povinného subjektu </w:t>
      </w:r>
      <w:r>
        <w:rPr>
          <w:rFonts w:ascii="Calibri" w:eastAsia="Times New Roman" w:hAnsi="Calibri" w:cs="Calibri"/>
          <w:lang w:eastAsia="cs-CZ"/>
        </w:rPr>
        <w:t>městyse Svojanov</w:t>
      </w:r>
      <w:r w:rsidRPr="00A170E1">
        <w:rPr>
          <w:rFonts w:ascii="Calibri" w:eastAsia="Times New Roman" w:hAnsi="Calibri" w:cs="Calibri"/>
          <w:lang w:eastAsia="cs-CZ"/>
        </w:rPr>
        <w:t xml:space="preserve"> a to do 30 dnů doručení sdělení nebo uplynutí lhůty pro poskytnutí informace. O stížnosti rozhoduje nadřízení orgán.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5.1. Stížnost lze podat ústně nebo písemně a to do 30 dnů ode dne doručení sdělení nebo uplynutí dané lhůty, a to v případech: </w:t>
      </w:r>
    </w:p>
    <w:p w:rsidR="00A170E1" w:rsidRPr="00A170E1" w:rsidRDefault="00A170E1" w:rsidP="00A170E1">
      <w:pPr>
        <w:spacing w:after="27"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a) žadatel nesouhlasí s vyřízením žádosti s uvedením, kde je možné informaci nalézt (odkaz na zveřejněnou informaci),</w:t>
      </w:r>
    </w:p>
    <w:p w:rsidR="00A170E1" w:rsidRPr="00A170E1" w:rsidRDefault="00A170E1" w:rsidP="00A170E1">
      <w:pPr>
        <w:spacing w:after="27"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b) pokud informace nebyla poskytnuta v dané lhůtě, </w:t>
      </w:r>
    </w:p>
    <w:p w:rsidR="00A170E1" w:rsidRPr="00A170E1" w:rsidRDefault="00A170E1" w:rsidP="00A170E1">
      <w:pPr>
        <w:spacing w:after="27"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c) pokud byla informace poskytnuta jen částečně a o zbytku žádosti nebylo vydáno rozhodnutí o odmítnutí,</w:t>
      </w:r>
    </w:p>
    <w:p w:rsidR="00A170E1" w:rsidRPr="00A170E1" w:rsidRDefault="00A170E1" w:rsidP="00A170E1">
      <w:pPr>
        <w:spacing w:after="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d) pokud žadatel nesouhlasí s výší úhrady.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5.2. O stížnosti rozhoduje nadřízení orgán: </w:t>
      </w:r>
    </w:p>
    <w:p w:rsidR="00A170E1" w:rsidRPr="00A170E1" w:rsidRDefault="00A170E1" w:rsidP="00A170E1">
      <w:pPr>
        <w:spacing w:after="28"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a) úřad stížnost předloží spolu se spisovým materiálem nejpozději do 7 dnů, </w:t>
      </w:r>
    </w:p>
    <w:p w:rsidR="00A170E1" w:rsidRPr="00A170E1" w:rsidRDefault="00A170E1" w:rsidP="00A170E1">
      <w:pPr>
        <w:spacing w:after="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b) nadřízený orgán nejpozději do 15 dnů přezkoumá oprávněnost stížnosti a rozhodne. </w: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w: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Calibri" w:eastAsia="Times New Roman" w:hAnsi="Calibri" w:cs="Calibri"/>
          <w:b/>
          <w:bCs/>
          <w:lang w:eastAsia="cs-CZ"/>
        </w:rPr>
        <w:t xml:space="preserve">6. </w:t>
      </w:r>
      <w:hyperlink r:id="rId5" w:history="1">
        <w:r w:rsidRPr="00A170E1">
          <w:rPr>
            <w:rFonts w:ascii="Calibri" w:eastAsia="Times New Roman" w:hAnsi="Calibri" w:cs="Calibri"/>
            <w:b/>
            <w:bCs/>
            <w:color w:val="0000FF"/>
            <w:u w:val="single"/>
            <w:lang w:eastAsia="cs-CZ"/>
          </w:rPr>
          <w:t>Sazebník úhrad</w:t>
        </w:r>
      </w:hyperlink>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6.1. Povinné zveřejňování informací provádí </w:t>
      </w:r>
      <w:r>
        <w:rPr>
          <w:rFonts w:ascii="Calibri" w:eastAsia="Times New Roman" w:hAnsi="Calibri" w:cs="Calibri"/>
          <w:lang w:eastAsia="cs-CZ"/>
        </w:rPr>
        <w:t>městys</w:t>
      </w:r>
      <w:r w:rsidRPr="00A170E1">
        <w:rPr>
          <w:rFonts w:ascii="Calibri" w:eastAsia="Times New Roman" w:hAnsi="Calibri" w:cs="Calibri"/>
          <w:lang w:eastAsia="cs-CZ"/>
        </w:rPr>
        <w:t xml:space="preserve"> na své náklady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6.2. V souvislosti s</w:t>
      </w:r>
      <w:r>
        <w:rPr>
          <w:rFonts w:ascii="Calibri" w:eastAsia="Times New Roman" w:hAnsi="Calibri" w:cs="Calibri"/>
          <w:lang w:eastAsia="cs-CZ"/>
        </w:rPr>
        <w:t xml:space="preserve"> poskytováním informací je městys oprávněn</w:t>
      </w:r>
      <w:r w:rsidRPr="00A170E1">
        <w:rPr>
          <w:rFonts w:ascii="Calibri" w:eastAsia="Times New Roman" w:hAnsi="Calibri" w:cs="Calibri"/>
          <w:lang w:eastAsia="cs-CZ"/>
        </w:rPr>
        <w:t xml:space="preserve"> žádat úhradu ve výši, která nesmí přesáhnout náklady spojené s pořízením kopií, opatřením technických nosičů dat a s ode</w:t>
      </w:r>
      <w:r>
        <w:rPr>
          <w:rFonts w:ascii="Calibri" w:eastAsia="Times New Roman" w:hAnsi="Calibri" w:cs="Calibri"/>
          <w:lang w:eastAsia="cs-CZ"/>
        </w:rPr>
        <w:t>sláním informací žadateli. Městys</w:t>
      </w:r>
      <w:r w:rsidRPr="00A170E1">
        <w:rPr>
          <w:rFonts w:ascii="Calibri" w:eastAsia="Times New Roman" w:hAnsi="Calibri" w:cs="Calibri"/>
          <w:lang w:eastAsia="cs-CZ"/>
        </w:rPr>
        <w:t xml:space="preserve"> může vyžádat i úhradu za mimořádně rozsáhlé vyhledání informací.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lastRenderedPageBreak/>
        <w:t xml:space="preserve">6.3. V případě, že bude povinný subjekt za poskytnutí informace požadovat úhradu, písemně oznámí tuto skutečnost spolu s výší úhrady (viz příloha) žadateli před poskytnutím informace.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Z oznámení musí být zřejmé, na základě jakých skutečností a jakým způsobem byla výše úhrady povinným subjektem vyčíslena.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6.4. Poskytnutí informace podle odstavce 3 je podmíněno zaplacením požadované úhrady. Pokud žadatel do 60 dnů ode dne oznámení výše požadované úhrady úhradu nezaplatí, povinný subjekt žádost odloží. Po dobu vyřizování stížnosti proti výši požadované úhrady lhůta podle věty druhé neběží. </w:t>
      </w:r>
    </w:p>
    <w:p w:rsidR="00A170E1" w:rsidRPr="00A170E1" w:rsidRDefault="00A170E1" w:rsidP="00A170E1">
      <w:pPr>
        <w:spacing w:before="120" w:after="120" w:line="240" w:lineRule="auto"/>
        <w:jc w:val="both"/>
        <w:rPr>
          <w:rFonts w:ascii="Times New Roman" w:eastAsia="Times New Roman" w:hAnsi="Times New Roman" w:cs="Times New Roman"/>
          <w:sz w:val="24"/>
          <w:szCs w:val="24"/>
          <w:lang w:eastAsia="cs-CZ"/>
        </w:rPr>
      </w:pPr>
      <w:r w:rsidRPr="00A170E1">
        <w:rPr>
          <w:rFonts w:ascii="Calibri" w:eastAsia="Times New Roman" w:hAnsi="Calibri" w:cs="Calibri"/>
          <w:lang w:eastAsia="cs-CZ"/>
        </w:rPr>
        <w:t xml:space="preserve">6.5. Úhrada je příjmem povinného subjektu. </w:t>
      </w:r>
    </w:p>
    <w:p w:rsidR="00A170E1" w:rsidRPr="00A170E1" w:rsidRDefault="00A170E1" w:rsidP="00A170E1">
      <w:pPr>
        <w:spacing w:after="0" w:line="240" w:lineRule="auto"/>
        <w:rPr>
          <w:rFonts w:ascii="Times New Roman" w:eastAsia="Times New Roman" w:hAnsi="Times New Roman" w:cs="Times New Roman"/>
          <w:sz w:val="24"/>
          <w:szCs w:val="24"/>
          <w:lang w:eastAsia="cs-CZ"/>
        </w:rPr>
      </w:pPr>
      <w:r w:rsidRPr="00A170E1">
        <w:rPr>
          <w:rFonts w:ascii="Times New Roman" w:eastAsia="Times New Roman" w:hAnsi="Times New Roman" w:cs="Times New Roman"/>
          <w:sz w:val="24"/>
          <w:szCs w:val="24"/>
          <w:lang w:eastAsia="cs-CZ"/>
        </w:rPr>
        <w:t> </w:t>
      </w:r>
    </w:p>
    <w:p w:rsidR="00383B7B" w:rsidRDefault="00383B7B"/>
    <w:sectPr w:rsidR="00383B7B" w:rsidSect="00A17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E1"/>
    <w:rsid w:val="00004341"/>
    <w:rsid w:val="00006269"/>
    <w:rsid w:val="00007BF6"/>
    <w:rsid w:val="0001326A"/>
    <w:rsid w:val="000150C3"/>
    <w:rsid w:val="000174CD"/>
    <w:rsid w:val="00022FA7"/>
    <w:rsid w:val="0002391B"/>
    <w:rsid w:val="00024230"/>
    <w:rsid w:val="00024B71"/>
    <w:rsid w:val="00025825"/>
    <w:rsid w:val="0002596A"/>
    <w:rsid w:val="00025B08"/>
    <w:rsid w:val="00026BB2"/>
    <w:rsid w:val="000320A7"/>
    <w:rsid w:val="000340CF"/>
    <w:rsid w:val="00034174"/>
    <w:rsid w:val="000374E5"/>
    <w:rsid w:val="00040E81"/>
    <w:rsid w:val="00051B54"/>
    <w:rsid w:val="000621FA"/>
    <w:rsid w:val="0007725F"/>
    <w:rsid w:val="00087F94"/>
    <w:rsid w:val="00094BBA"/>
    <w:rsid w:val="000958BD"/>
    <w:rsid w:val="000A53D7"/>
    <w:rsid w:val="000B2199"/>
    <w:rsid w:val="000B3827"/>
    <w:rsid w:val="000D143C"/>
    <w:rsid w:val="000D2490"/>
    <w:rsid w:val="000D41DF"/>
    <w:rsid w:val="000D5B82"/>
    <w:rsid w:val="000E1328"/>
    <w:rsid w:val="000E27E9"/>
    <w:rsid w:val="000E3E1A"/>
    <w:rsid w:val="000F40DF"/>
    <w:rsid w:val="000F4B95"/>
    <w:rsid w:val="001065E1"/>
    <w:rsid w:val="00112144"/>
    <w:rsid w:val="001155CE"/>
    <w:rsid w:val="001245AD"/>
    <w:rsid w:val="00130CF3"/>
    <w:rsid w:val="00133E5F"/>
    <w:rsid w:val="00154513"/>
    <w:rsid w:val="00155B9F"/>
    <w:rsid w:val="001566B2"/>
    <w:rsid w:val="00167825"/>
    <w:rsid w:val="00173CA4"/>
    <w:rsid w:val="00177B09"/>
    <w:rsid w:val="00182561"/>
    <w:rsid w:val="00195F83"/>
    <w:rsid w:val="001A035D"/>
    <w:rsid w:val="001A1539"/>
    <w:rsid w:val="001A7E02"/>
    <w:rsid w:val="001B2A4C"/>
    <w:rsid w:val="001C0163"/>
    <w:rsid w:val="001C1080"/>
    <w:rsid w:val="001C1234"/>
    <w:rsid w:val="001C12D0"/>
    <w:rsid w:val="001C5EB7"/>
    <w:rsid w:val="001C6626"/>
    <w:rsid w:val="001C66E9"/>
    <w:rsid w:val="001C6A6A"/>
    <w:rsid w:val="001D2330"/>
    <w:rsid w:val="001D456B"/>
    <w:rsid w:val="001E188B"/>
    <w:rsid w:val="001E26E9"/>
    <w:rsid w:val="00203320"/>
    <w:rsid w:val="00206D4E"/>
    <w:rsid w:val="00210009"/>
    <w:rsid w:val="0021016E"/>
    <w:rsid w:val="002142EE"/>
    <w:rsid w:val="00216435"/>
    <w:rsid w:val="00222D20"/>
    <w:rsid w:val="002256DA"/>
    <w:rsid w:val="00230AB9"/>
    <w:rsid w:val="00235E7C"/>
    <w:rsid w:val="002406B3"/>
    <w:rsid w:val="00241697"/>
    <w:rsid w:val="0025205C"/>
    <w:rsid w:val="00253D8F"/>
    <w:rsid w:val="00263D9F"/>
    <w:rsid w:val="00264FFC"/>
    <w:rsid w:val="002662D8"/>
    <w:rsid w:val="0027484E"/>
    <w:rsid w:val="002750FC"/>
    <w:rsid w:val="00281044"/>
    <w:rsid w:val="0028385F"/>
    <w:rsid w:val="002900A3"/>
    <w:rsid w:val="00291BBC"/>
    <w:rsid w:val="00296DA8"/>
    <w:rsid w:val="002A3853"/>
    <w:rsid w:val="002A49DC"/>
    <w:rsid w:val="002A505B"/>
    <w:rsid w:val="002A5114"/>
    <w:rsid w:val="002A58F5"/>
    <w:rsid w:val="002B03ED"/>
    <w:rsid w:val="002C6DB6"/>
    <w:rsid w:val="002D131C"/>
    <w:rsid w:val="002E6291"/>
    <w:rsid w:val="002E6E8C"/>
    <w:rsid w:val="002E7F19"/>
    <w:rsid w:val="002F1286"/>
    <w:rsid w:val="002F62E3"/>
    <w:rsid w:val="00300055"/>
    <w:rsid w:val="00307FF5"/>
    <w:rsid w:val="003125E4"/>
    <w:rsid w:val="00320646"/>
    <w:rsid w:val="0032143B"/>
    <w:rsid w:val="00331383"/>
    <w:rsid w:val="00331E3B"/>
    <w:rsid w:val="0034379C"/>
    <w:rsid w:val="0035546D"/>
    <w:rsid w:val="00356E7E"/>
    <w:rsid w:val="00363715"/>
    <w:rsid w:val="00367024"/>
    <w:rsid w:val="003723A6"/>
    <w:rsid w:val="003735B7"/>
    <w:rsid w:val="00383B7B"/>
    <w:rsid w:val="003847CE"/>
    <w:rsid w:val="00385E97"/>
    <w:rsid w:val="00386DF7"/>
    <w:rsid w:val="003B1070"/>
    <w:rsid w:val="003B189D"/>
    <w:rsid w:val="003B27D3"/>
    <w:rsid w:val="003B2DAB"/>
    <w:rsid w:val="003B585B"/>
    <w:rsid w:val="003E1154"/>
    <w:rsid w:val="003F26E2"/>
    <w:rsid w:val="003F2974"/>
    <w:rsid w:val="003F2E7C"/>
    <w:rsid w:val="00402577"/>
    <w:rsid w:val="00403934"/>
    <w:rsid w:val="0040402C"/>
    <w:rsid w:val="004207D4"/>
    <w:rsid w:val="00423737"/>
    <w:rsid w:val="004325FE"/>
    <w:rsid w:val="00493553"/>
    <w:rsid w:val="004972F2"/>
    <w:rsid w:val="004A045B"/>
    <w:rsid w:val="004A0781"/>
    <w:rsid w:val="004A0E2A"/>
    <w:rsid w:val="004A2CDB"/>
    <w:rsid w:val="004B1600"/>
    <w:rsid w:val="004B307B"/>
    <w:rsid w:val="004C52E7"/>
    <w:rsid w:val="004D2A2B"/>
    <w:rsid w:val="004D6E7C"/>
    <w:rsid w:val="004E3864"/>
    <w:rsid w:val="004E5377"/>
    <w:rsid w:val="004E5AA0"/>
    <w:rsid w:val="004F086C"/>
    <w:rsid w:val="004F6080"/>
    <w:rsid w:val="00510ED9"/>
    <w:rsid w:val="005113D2"/>
    <w:rsid w:val="00512009"/>
    <w:rsid w:val="0051288B"/>
    <w:rsid w:val="005168E6"/>
    <w:rsid w:val="005200B0"/>
    <w:rsid w:val="0052554B"/>
    <w:rsid w:val="00533049"/>
    <w:rsid w:val="0053539F"/>
    <w:rsid w:val="00535BA7"/>
    <w:rsid w:val="00535DC1"/>
    <w:rsid w:val="005413C7"/>
    <w:rsid w:val="00543D66"/>
    <w:rsid w:val="00545C89"/>
    <w:rsid w:val="005523D4"/>
    <w:rsid w:val="00557C25"/>
    <w:rsid w:val="00561696"/>
    <w:rsid w:val="005629CD"/>
    <w:rsid w:val="00573C01"/>
    <w:rsid w:val="00581FD5"/>
    <w:rsid w:val="005833E8"/>
    <w:rsid w:val="0058364C"/>
    <w:rsid w:val="00591D67"/>
    <w:rsid w:val="00592C23"/>
    <w:rsid w:val="0059515E"/>
    <w:rsid w:val="005A0989"/>
    <w:rsid w:val="005A295F"/>
    <w:rsid w:val="005B256F"/>
    <w:rsid w:val="005B3930"/>
    <w:rsid w:val="005C1DDD"/>
    <w:rsid w:val="005C39AA"/>
    <w:rsid w:val="005C62D5"/>
    <w:rsid w:val="005C7D93"/>
    <w:rsid w:val="005D1D9B"/>
    <w:rsid w:val="005E44BA"/>
    <w:rsid w:val="005E7486"/>
    <w:rsid w:val="005E7AD7"/>
    <w:rsid w:val="005F1B64"/>
    <w:rsid w:val="005F2189"/>
    <w:rsid w:val="005F31B7"/>
    <w:rsid w:val="005F732A"/>
    <w:rsid w:val="00603BE9"/>
    <w:rsid w:val="00603E38"/>
    <w:rsid w:val="00604992"/>
    <w:rsid w:val="00604D33"/>
    <w:rsid w:val="006055FF"/>
    <w:rsid w:val="00605AB3"/>
    <w:rsid w:val="006108F0"/>
    <w:rsid w:val="00610BA9"/>
    <w:rsid w:val="00610C5B"/>
    <w:rsid w:val="00612700"/>
    <w:rsid w:val="0062251A"/>
    <w:rsid w:val="00637F32"/>
    <w:rsid w:val="0064691E"/>
    <w:rsid w:val="00647A92"/>
    <w:rsid w:val="00651F2F"/>
    <w:rsid w:val="00660FAF"/>
    <w:rsid w:val="00663F6F"/>
    <w:rsid w:val="00664CDC"/>
    <w:rsid w:val="00670A76"/>
    <w:rsid w:val="0067682A"/>
    <w:rsid w:val="0067738D"/>
    <w:rsid w:val="00684CD7"/>
    <w:rsid w:val="00693510"/>
    <w:rsid w:val="006A1309"/>
    <w:rsid w:val="006A16A3"/>
    <w:rsid w:val="006A5A45"/>
    <w:rsid w:val="006A7889"/>
    <w:rsid w:val="006B05DC"/>
    <w:rsid w:val="006B2974"/>
    <w:rsid w:val="006B2C21"/>
    <w:rsid w:val="006C1A33"/>
    <w:rsid w:val="006D168D"/>
    <w:rsid w:val="006D4931"/>
    <w:rsid w:val="006D4B83"/>
    <w:rsid w:val="006D50CC"/>
    <w:rsid w:val="006E156E"/>
    <w:rsid w:val="006E19F6"/>
    <w:rsid w:val="006E560F"/>
    <w:rsid w:val="006F05BE"/>
    <w:rsid w:val="006F0E90"/>
    <w:rsid w:val="006F1780"/>
    <w:rsid w:val="006F35D3"/>
    <w:rsid w:val="006F4320"/>
    <w:rsid w:val="00700EFF"/>
    <w:rsid w:val="00701FB6"/>
    <w:rsid w:val="00704AE0"/>
    <w:rsid w:val="007115E0"/>
    <w:rsid w:val="00711681"/>
    <w:rsid w:val="00713A2E"/>
    <w:rsid w:val="0072280B"/>
    <w:rsid w:val="00723926"/>
    <w:rsid w:val="00723D3C"/>
    <w:rsid w:val="00725CB2"/>
    <w:rsid w:val="00731549"/>
    <w:rsid w:val="00731DEA"/>
    <w:rsid w:val="00732AF4"/>
    <w:rsid w:val="00735653"/>
    <w:rsid w:val="00735768"/>
    <w:rsid w:val="00747481"/>
    <w:rsid w:val="00747F1F"/>
    <w:rsid w:val="0075752F"/>
    <w:rsid w:val="007579AA"/>
    <w:rsid w:val="00757E72"/>
    <w:rsid w:val="00762EA0"/>
    <w:rsid w:val="00763E8C"/>
    <w:rsid w:val="007671FE"/>
    <w:rsid w:val="007701BC"/>
    <w:rsid w:val="007A2D85"/>
    <w:rsid w:val="007A4021"/>
    <w:rsid w:val="007B26CE"/>
    <w:rsid w:val="007B5D06"/>
    <w:rsid w:val="007B6DEF"/>
    <w:rsid w:val="007C0D3E"/>
    <w:rsid w:val="007D17A5"/>
    <w:rsid w:val="007D229A"/>
    <w:rsid w:val="007E008C"/>
    <w:rsid w:val="007E1211"/>
    <w:rsid w:val="007E158B"/>
    <w:rsid w:val="007E1F8D"/>
    <w:rsid w:val="007E7DF3"/>
    <w:rsid w:val="007F263F"/>
    <w:rsid w:val="007F270F"/>
    <w:rsid w:val="007F4605"/>
    <w:rsid w:val="007F690D"/>
    <w:rsid w:val="008019DB"/>
    <w:rsid w:val="0080331D"/>
    <w:rsid w:val="00814479"/>
    <w:rsid w:val="00815003"/>
    <w:rsid w:val="00815D3F"/>
    <w:rsid w:val="008248E1"/>
    <w:rsid w:val="00825FD9"/>
    <w:rsid w:val="00834415"/>
    <w:rsid w:val="00844AE9"/>
    <w:rsid w:val="0085613E"/>
    <w:rsid w:val="0085738F"/>
    <w:rsid w:val="00861FA3"/>
    <w:rsid w:val="00864C7B"/>
    <w:rsid w:val="008A3856"/>
    <w:rsid w:val="008A69E3"/>
    <w:rsid w:val="008A792A"/>
    <w:rsid w:val="008B0C3C"/>
    <w:rsid w:val="008B6941"/>
    <w:rsid w:val="008B6B26"/>
    <w:rsid w:val="008C5F9A"/>
    <w:rsid w:val="008D7A45"/>
    <w:rsid w:val="008E20DD"/>
    <w:rsid w:val="008E2455"/>
    <w:rsid w:val="008E33AA"/>
    <w:rsid w:val="008E646D"/>
    <w:rsid w:val="008E67D4"/>
    <w:rsid w:val="008F72D2"/>
    <w:rsid w:val="00900939"/>
    <w:rsid w:val="00902AC9"/>
    <w:rsid w:val="00904AEF"/>
    <w:rsid w:val="00916FCA"/>
    <w:rsid w:val="00920FE3"/>
    <w:rsid w:val="009224A1"/>
    <w:rsid w:val="00925205"/>
    <w:rsid w:val="00927700"/>
    <w:rsid w:val="00927A7D"/>
    <w:rsid w:val="009310C4"/>
    <w:rsid w:val="0093480C"/>
    <w:rsid w:val="00936CB2"/>
    <w:rsid w:val="00940A62"/>
    <w:rsid w:val="00951768"/>
    <w:rsid w:val="0095615F"/>
    <w:rsid w:val="00956226"/>
    <w:rsid w:val="00960CFB"/>
    <w:rsid w:val="00971BFB"/>
    <w:rsid w:val="00973CE9"/>
    <w:rsid w:val="00975DB7"/>
    <w:rsid w:val="00977C0D"/>
    <w:rsid w:val="0098048E"/>
    <w:rsid w:val="0098231C"/>
    <w:rsid w:val="009856D5"/>
    <w:rsid w:val="0098598E"/>
    <w:rsid w:val="00991935"/>
    <w:rsid w:val="00994A48"/>
    <w:rsid w:val="00996403"/>
    <w:rsid w:val="009A6B62"/>
    <w:rsid w:val="009B11F4"/>
    <w:rsid w:val="009B236C"/>
    <w:rsid w:val="009C5460"/>
    <w:rsid w:val="009D146D"/>
    <w:rsid w:val="009D72CA"/>
    <w:rsid w:val="009E57D7"/>
    <w:rsid w:val="009F63F5"/>
    <w:rsid w:val="00A0056C"/>
    <w:rsid w:val="00A170E1"/>
    <w:rsid w:val="00A23E7F"/>
    <w:rsid w:val="00A25A39"/>
    <w:rsid w:val="00A3366F"/>
    <w:rsid w:val="00A405FE"/>
    <w:rsid w:val="00A407D6"/>
    <w:rsid w:val="00A43866"/>
    <w:rsid w:val="00A4692A"/>
    <w:rsid w:val="00A4706B"/>
    <w:rsid w:val="00A50B36"/>
    <w:rsid w:val="00A514EB"/>
    <w:rsid w:val="00A51F20"/>
    <w:rsid w:val="00A740DC"/>
    <w:rsid w:val="00A767F0"/>
    <w:rsid w:val="00A87ED8"/>
    <w:rsid w:val="00AB1401"/>
    <w:rsid w:val="00AB3483"/>
    <w:rsid w:val="00AB4D96"/>
    <w:rsid w:val="00AB645F"/>
    <w:rsid w:val="00AD568E"/>
    <w:rsid w:val="00AE09B8"/>
    <w:rsid w:val="00AE59F4"/>
    <w:rsid w:val="00AE7294"/>
    <w:rsid w:val="00AF4F15"/>
    <w:rsid w:val="00AF60F7"/>
    <w:rsid w:val="00B22EFB"/>
    <w:rsid w:val="00B26505"/>
    <w:rsid w:val="00B35307"/>
    <w:rsid w:val="00B60B84"/>
    <w:rsid w:val="00B7744B"/>
    <w:rsid w:val="00B8227B"/>
    <w:rsid w:val="00B87AFB"/>
    <w:rsid w:val="00B92585"/>
    <w:rsid w:val="00B92670"/>
    <w:rsid w:val="00B9387F"/>
    <w:rsid w:val="00B94169"/>
    <w:rsid w:val="00B94295"/>
    <w:rsid w:val="00B94473"/>
    <w:rsid w:val="00BA041C"/>
    <w:rsid w:val="00BA40A3"/>
    <w:rsid w:val="00BC47EA"/>
    <w:rsid w:val="00BD1DF1"/>
    <w:rsid w:val="00BE0DC1"/>
    <w:rsid w:val="00BE0E03"/>
    <w:rsid w:val="00BE6CA1"/>
    <w:rsid w:val="00BF05BD"/>
    <w:rsid w:val="00BF327A"/>
    <w:rsid w:val="00BF471F"/>
    <w:rsid w:val="00C03B3D"/>
    <w:rsid w:val="00C0453A"/>
    <w:rsid w:val="00C05014"/>
    <w:rsid w:val="00C05F34"/>
    <w:rsid w:val="00C06920"/>
    <w:rsid w:val="00C10147"/>
    <w:rsid w:val="00C148EE"/>
    <w:rsid w:val="00C15C6F"/>
    <w:rsid w:val="00C17AE9"/>
    <w:rsid w:val="00C22AE3"/>
    <w:rsid w:val="00C34DC9"/>
    <w:rsid w:val="00C43A0D"/>
    <w:rsid w:val="00C45466"/>
    <w:rsid w:val="00C519D6"/>
    <w:rsid w:val="00C54E8E"/>
    <w:rsid w:val="00C54EEB"/>
    <w:rsid w:val="00C56AB2"/>
    <w:rsid w:val="00C65F4E"/>
    <w:rsid w:val="00C7319B"/>
    <w:rsid w:val="00C742A9"/>
    <w:rsid w:val="00C8793E"/>
    <w:rsid w:val="00C94800"/>
    <w:rsid w:val="00CA5794"/>
    <w:rsid w:val="00CA5B47"/>
    <w:rsid w:val="00CA734B"/>
    <w:rsid w:val="00CA7B0E"/>
    <w:rsid w:val="00CB7329"/>
    <w:rsid w:val="00CC1483"/>
    <w:rsid w:val="00CC321D"/>
    <w:rsid w:val="00CC47E8"/>
    <w:rsid w:val="00CC7B27"/>
    <w:rsid w:val="00CD0A3D"/>
    <w:rsid w:val="00CD397E"/>
    <w:rsid w:val="00CE54AE"/>
    <w:rsid w:val="00CE668B"/>
    <w:rsid w:val="00CF6897"/>
    <w:rsid w:val="00D034D7"/>
    <w:rsid w:val="00D06045"/>
    <w:rsid w:val="00D0761C"/>
    <w:rsid w:val="00D07A44"/>
    <w:rsid w:val="00D24A3E"/>
    <w:rsid w:val="00D24B90"/>
    <w:rsid w:val="00D264DD"/>
    <w:rsid w:val="00D30E40"/>
    <w:rsid w:val="00D33CAE"/>
    <w:rsid w:val="00D44C46"/>
    <w:rsid w:val="00D473B2"/>
    <w:rsid w:val="00D51D33"/>
    <w:rsid w:val="00D56780"/>
    <w:rsid w:val="00D61272"/>
    <w:rsid w:val="00D6128F"/>
    <w:rsid w:val="00D64A14"/>
    <w:rsid w:val="00D75ACE"/>
    <w:rsid w:val="00D81C1C"/>
    <w:rsid w:val="00D8260A"/>
    <w:rsid w:val="00D86BDD"/>
    <w:rsid w:val="00D95A07"/>
    <w:rsid w:val="00DA1457"/>
    <w:rsid w:val="00DA43E8"/>
    <w:rsid w:val="00DC5AFB"/>
    <w:rsid w:val="00DE08F2"/>
    <w:rsid w:val="00DE10FB"/>
    <w:rsid w:val="00DF1236"/>
    <w:rsid w:val="00DF2FE2"/>
    <w:rsid w:val="00DF7BDA"/>
    <w:rsid w:val="00E00887"/>
    <w:rsid w:val="00E0589F"/>
    <w:rsid w:val="00E14F88"/>
    <w:rsid w:val="00E277EC"/>
    <w:rsid w:val="00E30D8F"/>
    <w:rsid w:val="00E32EAA"/>
    <w:rsid w:val="00E36C95"/>
    <w:rsid w:val="00E4368C"/>
    <w:rsid w:val="00E45687"/>
    <w:rsid w:val="00E461D7"/>
    <w:rsid w:val="00E51A3F"/>
    <w:rsid w:val="00E62749"/>
    <w:rsid w:val="00E63DC3"/>
    <w:rsid w:val="00E6406B"/>
    <w:rsid w:val="00E66AB7"/>
    <w:rsid w:val="00E70B93"/>
    <w:rsid w:val="00E714DC"/>
    <w:rsid w:val="00E76BCD"/>
    <w:rsid w:val="00E858E5"/>
    <w:rsid w:val="00E924DB"/>
    <w:rsid w:val="00EA0E36"/>
    <w:rsid w:val="00EA2D17"/>
    <w:rsid w:val="00EB11E3"/>
    <w:rsid w:val="00EB6EA8"/>
    <w:rsid w:val="00EB72E0"/>
    <w:rsid w:val="00EC6A90"/>
    <w:rsid w:val="00ED3B3D"/>
    <w:rsid w:val="00EF1C16"/>
    <w:rsid w:val="00EF260A"/>
    <w:rsid w:val="00EF54E7"/>
    <w:rsid w:val="00EF64E5"/>
    <w:rsid w:val="00F02BEF"/>
    <w:rsid w:val="00F05459"/>
    <w:rsid w:val="00F05DBD"/>
    <w:rsid w:val="00F06E2D"/>
    <w:rsid w:val="00F113EC"/>
    <w:rsid w:val="00F116AC"/>
    <w:rsid w:val="00F12CAA"/>
    <w:rsid w:val="00F1458A"/>
    <w:rsid w:val="00F17626"/>
    <w:rsid w:val="00F23235"/>
    <w:rsid w:val="00F34559"/>
    <w:rsid w:val="00F34B91"/>
    <w:rsid w:val="00F37F27"/>
    <w:rsid w:val="00F4015D"/>
    <w:rsid w:val="00F43D1B"/>
    <w:rsid w:val="00F65B60"/>
    <w:rsid w:val="00F70083"/>
    <w:rsid w:val="00F74711"/>
    <w:rsid w:val="00F82270"/>
    <w:rsid w:val="00F83C55"/>
    <w:rsid w:val="00F8503E"/>
    <w:rsid w:val="00F92672"/>
    <w:rsid w:val="00F9358C"/>
    <w:rsid w:val="00F97D0C"/>
    <w:rsid w:val="00FA10FB"/>
    <w:rsid w:val="00FA1178"/>
    <w:rsid w:val="00FA4D2D"/>
    <w:rsid w:val="00FA5F8E"/>
    <w:rsid w:val="00FA7426"/>
    <w:rsid w:val="00FB3577"/>
    <w:rsid w:val="00FB4E46"/>
    <w:rsid w:val="00FC47C8"/>
    <w:rsid w:val="00FC5B47"/>
    <w:rsid w:val="00FC62E0"/>
    <w:rsid w:val="00FD13DE"/>
    <w:rsid w:val="00FD38A7"/>
    <w:rsid w:val="00FD436E"/>
    <w:rsid w:val="00FE14C7"/>
    <w:rsid w:val="00FF2245"/>
    <w:rsid w:val="00FF6DA6"/>
    <w:rsid w:val="00FF7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170E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170E1"/>
    <w:rPr>
      <w:rFonts w:ascii="Times New Roman" w:eastAsia="Times New Roman" w:hAnsi="Times New Roman" w:cs="Times New Roman"/>
      <w:b/>
      <w:bCs/>
      <w:sz w:val="36"/>
      <w:szCs w:val="36"/>
      <w:lang w:eastAsia="cs-CZ"/>
    </w:rPr>
  </w:style>
  <w:style w:type="paragraph" w:customStyle="1" w:styleId="default">
    <w:name w:val="default"/>
    <w:basedOn w:val="Normln"/>
    <w:rsid w:val="00A170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170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170E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170E1"/>
    <w:rPr>
      <w:rFonts w:ascii="Times New Roman" w:eastAsia="Times New Roman" w:hAnsi="Times New Roman" w:cs="Times New Roman"/>
      <w:b/>
      <w:bCs/>
      <w:sz w:val="36"/>
      <w:szCs w:val="36"/>
      <w:lang w:eastAsia="cs-CZ"/>
    </w:rPr>
  </w:style>
  <w:style w:type="paragraph" w:customStyle="1" w:styleId="default">
    <w:name w:val="default"/>
    <w:basedOn w:val="Normln"/>
    <w:rsid w:val="00A170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17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13900">
      <w:bodyDiv w:val="1"/>
      <w:marLeft w:val="0"/>
      <w:marRight w:val="0"/>
      <w:marTop w:val="0"/>
      <w:marBottom w:val="0"/>
      <w:divBdr>
        <w:top w:val="none" w:sz="0" w:space="0" w:color="auto"/>
        <w:left w:val="none" w:sz="0" w:space="0" w:color="auto"/>
        <w:bottom w:val="none" w:sz="0" w:space="0" w:color="auto"/>
        <w:right w:val="none" w:sz="0" w:space="0" w:color="auto"/>
      </w:divBdr>
      <w:divsChild>
        <w:div w:id="566300352">
          <w:marLeft w:val="0"/>
          <w:marRight w:val="0"/>
          <w:marTop w:val="0"/>
          <w:marBottom w:val="0"/>
          <w:divBdr>
            <w:top w:val="none" w:sz="0" w:space="0" w:color="auto"/>
            <w:left w:val="none" w:sz="0" w:space="0" w:color="auto"/>
            <w:bottom w:val="none" w:sz="0" w:space="0" w:color="auto"/>
            <w:right w:val="none" w:sz="0" w:space="0" w:color="auto"/>
          </w:divBdr>
          <w:divsChild>
            <w:div w:id="1114859204">
              <w:marLeft w:val="0"/>
              <w:marRight w:val="0"/>
              <w:marTop w:val="0"/>
              <w:marBottom w:val="0"/>
              <w:divBdr>
                <w:top w:val="none" w:sz="0" w:space="0" w:color="auto"/>
                <w:left w:val="none" w:sz="0" w:space="0" w:color="auto"/>
                <w:bottom w:val="none" w:sz="0" w:space="0" w:color="auto"/>
                <w:right w:val="none" w:sz="0" w:space="0" w:color="auto"/>
              </w:divBdr>
              <w:divsChild>
                <w:div w:id="536048880">
                  <w:marLeft w:val="0"/>
                  <w:marRight w:val="0"/>
                  <w:marTop w:val="0"/>
                  <w:marBottom w:val="0"/>
                  <w:divBdr>
                    <w:top w:val="none" w:sz="0" w:space="0" w:color="auto"/>
                    <w:left w:val="none" w:sz="0" w:space="0" w:color="auto"/>
                    <w:bottom w:val="none" w:sz="0" w:space="0" w:color="auto"/>
                    <w:right w:val="none" w:sz="0" w:space="0" w:color="auto"/>
                  </w:divBdr>
                  <w:divsChild>
                    <w:div w:id="1795252428">
                      <w:marLeft w:val="0"/>
                      <w:marRight w:val="0"/>
                      <w:marTop w:val="0"/>
                      <w:marBottom w:val="0"/>
                      <w:divBdr>
                        <w:top w:val="none" w:sz="0" w:space="0" w:color="auto"/>
                        <w:left w:val="none" w:sz="0" w:space="0" w:color="auto"/>
                        <w:bottom w:val="none" w:sz="0" w:space="0" w:color="auto"/>
                        <w:right w:val="none" w:sz="0" w:space="0" w:color="auto"/>
                      </w:divBdr>
                      <w:divsChild>
                        <w:div w:id="707726135">
                          <w:marLeft w:val="0"/>
                          <w:marRight w:val="0"/>
                          <w:marTop w:val="0"/>
                          <w:marBottom w:val="0"/>
                          <w:divBdr>
                            <w:top w:val="none" w:sz="0" w:space="0" w:color="auto"/>
                            <w:left w:val="none" w:sz="0" w:space="0" w:color="auto"/>
                            <w:bottom w:val="none" w:sz="0" w:space="0" w:color="auto"/>
                            <w:right w:val="none" w:sz="0" w:space="0" w:color="auto"/>
                          </w:divBdr>
                        </w:div>
                        <w:div w:id="1788815205">
                          <w:marLeft w:val="0"/>
                          <w:marRight w:val="0"/>
                          <w:marTop w:val="0"/>
                          <w:marBottom w:val="0"/>
                          <w:divBdr>
                            <w:top w:val="none" w:sz="0" w:space="0" w:color="auto"/>
                            <w:left w:val="none" w:sz="0" w:space="0" w:color="auto"/>
                            <w:bottom w:val="none" w:sz="0" w:space="0" w:color="auto"/>
                            <w:right w:val="none" w:sz="0" w:space="0" w:color="auto"/>
                          </w:divBdr>
                          <w:divsChild>
                            <w:div w:id="1529754717">
                              <w:marLeft w:val="0"/>
                              <w:marRight w:val="0"/>
                              <w:marTop w:val="0"/>
                              <w:marBottom w:val="0"/>
                              <w:divBdr>
                                <w:top w:val="none" w:sz="0" w:space="0" w:color="auto"/>
                                <w:left w:val="none" w:sz="0" w:space="0" w:color="auto"/>
                                <w:bottom w:val="none" w:sz="0" w:space="0" w:color="auto"/>
                                <w:right w:val="none" w:sz="0" w:space="0" w:color="auto"/>
                              </w:divBdr>
                            </w:div>
                            <w:div w:id="1871643468">
                              <w:marLeft w:val="0"/>
                              <w:marRight w:val="0"/>
                              <w:marTop w:val="0"/>
                              <w:marBottom w:val="0"/>
                              <w:divBdr>
                                <w:top w:val="none" w:sz="0" w:space="0" w:color="auto"/>
                                <w:left w:val="none" w:sz="0" w:space="0" w:color="auto"/>
                                <w:bottom w:val="none" w:sz="0" w:space="0" w:color="auto"/>
                                <w:right w:val="none" w:sz="0" w:space="0" w:color="auto"/>
                              </w:divBdr>
                            </w:div>
                            <w:div w:id="109982313">
                              <w:marLeft w:val="0"/>
                              <w:marRight w:val="0"/>
                              <w:marTop w:val="0"/>
                              <w:marBottom w:val="0"/>
                              <w:divBdr>
                                <w:top w:val="none" w:sz="0" w:space="0" w:color="auto"/>
                                <w:left w:val="none" w:sz="0" w:space="0" w:color="auto"/>
                                <w:bottom w:val="none" w:sz="0" w:space="0" w:color="auto"/>
                                <w:right w:val="none" w:sz="0" w:space="0" w:color="auto"/>
                              </w:divBdr>
                              <w:divsChild>
                                <w:div w:id="64647534">
                                  <w:marLeft w:val="0"/>
                                  <w:marRight w:val="0"/>
                                  <w:marTop w:val="0"/>
                                  <w:marBottom w:val="0"/>
                                  <w:divBdr>
                                    <w:top w:val="none" w:sz="0" w:space="0" w:color="auto"/>
                                    <w:left w:val="none" w:sz="0" w:space="0" w:color="auto"/>
                                    <w:bottom w:val="none" w:sz="0" w:space="0" w:color="auto"/>
                                    <w:right w:val="none" w:sz="0" w:space="0" w:color="auto"/>
                                  </w:divBdr>
                                </w:div>
                                <w:div w:id="776288102">
                                  <w:marLeft w:val="0"/>
                                  <w:marRight w:val="0"/>
                                  <w:marTop w:val="0"/>
                                  <w:marBottom w:val="0"/>
                                  <w:divBdr>
                                    <w:top w:val="none" w:sz="0" w:space="0" w:color="auto"/>
                                    <w:left w:val="none" w:sz="0" w:space="0" w:color="auto"/>
                                    <w:bottom w:val="none" w:sz="0" w:space="0" w:color="auto"/>
                                    <w:right w:val="none" w:sz="0" w:space="0" w:color="auto"/>
                                  </w:divBdr>
                                </w:div>
                                <w:div w:id="18573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mohelnice.cz/sazebnik-uhrad-za-poskytovani-informaci/d-60664"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1043</Words>
  <Characters>6158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2014-10-02T08:30:00Z</dcterms:created>
  <dcterms:modified xsi:type="dcterms:W3CDTF">2014-10-08T09:29:00Z</dcterms:modified>
</cp:coreProperties>
</file>